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rPr>
          <w:rFonts w:ascii="Times" w:hAnsi="Times"/>
          <w:b w:val="1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drawing>
          <wp:inline>
            <wp:extent cx="5940425" cy="316230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940425" cy="31623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line="240" w:lineRule="auto"/>
        <w:ind/>
        <w:rPr>
          <w:rFonts w:ascii="Times" w:hAnsi="Times"/>
          <w:b w:val="1"/>
          <w:color w:val="000000"/>
          <w:sz w:val="23"/>
        </w:rPr>
      </w:pPr>
    </w:p>
    <w:p w14:paraId="03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Антидопинговая политика и руководящие принципы Всемирной федерации спортивного айкидо (WSAF)</w:t>
      </w:r>
    </w:p>
    <w:p w14:paraId="04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WSAF привержена принципам спорта без наркотиков по следующим причинам:</w:t>
      </w:r>
    </w:p>
    <w:p w14:paraId="05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06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Поддерживать и сохранять этику спорта</w:t>
      </w:r>
    </w:p>
    <w:p w14:paraId="07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08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Для защиты физического и психического здоровья игроков</w:t>
      </w:r>
    </w:p>
    <w:p w14:paraId="09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0A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Чтобы гарантировать, что все игроки имеют возможность соревноваться на равных</w:t>
      </w:r>
    </w:p>
    <w:p w14:paraId="0B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0C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Выступать в качестве моральной основы для молодежи</w:t>
      </w:r>
    </w:p>
    <w:p w14:paraId="0D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Для подкрепления этого обязательства WSAF будет:</w:t>
      </w:r>
    </w:p>
    <w:p w14:paraId="0E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0F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Обучать и информировать игроков и участников о вреде наркотиков и последствиях</w:t>
      </w:r>
    </w:p>
    <w:p w14:paraId="10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прием лекарств или нарушение антидопинговых правил</w:t>
      </w:r>
    </w:p>
    <w:p w14:paraId="11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12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Соответствуют Кодексу ВАДА</w:t>
      </w:r>
    </w:p>
    <w:p w14:paraId="13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14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Тестируйте игроков, чтобы подтвердить и поддерживать их статус без наркотиков</w:t>
      </w:r>
    </w:p>
    <w:p w14:paraId="15000000">
      <w:pPr>
        <w:spacing w:after="0" w:line="270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Эти рекомендации либо предоставят, либо направят вас к необходимой информации о правах и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обязанностях игроков и должностных лиц службы поддержки, занимающихся айкидо, в соответствии со Всемирным антидопинговым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кодексом (Кодекс) и Антидопинговыми правилами WSAF.</w:t>
      </w:r>
    </w:p>
    <w:p w14:paraId="16000000">
      <w:pPr>
        <w:spacing w:after="0" w:line="270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 основе Кодекса лежит стремление создать равные условия игры, на которых игроки во всех видах спорта могут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соревноваться с уверенностью и природными спортивными способностями. Это делается для сохранения спорта путем гармонизации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антидопинговых правил и положений во всех видах спорта во всех странах.</w:t>
      </w:r>
    </w:p>
    <w:p w14:paraId="17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Антидопинговые правила и нарушения</w:t>
      </w:r>
    </w:p>
    <w:p w14:paraId="18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Чтобы не нарушать правила, вам нужно убедиться, что вы знаете, каковы они. В соответствии с Кодексом и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 xml:space="preserve">Антидопинговыми правилами WSAF, вам не нужно давать положительный результат теста, </w:t>
      </w:r>
      <w:r>
        <w:rPr>
          <w:rFonts w:ascii="Times" w:hAnsi="Times"/>
          <w:color w:val="000000"/>
          <w:sz w:val="23"/>
        </w:rPr>
        <w:t>чтобы нарушить антидопинговое правило, поэтому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важно, чтобы вы понимали и знали о следующих нарушениях.</w:t>
      </w:r>
    </w:p>
    <w:p w14:paraId="19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нарушили бы правила антидопинга, если:</w:t>
      </w:r>
    </w:p>
    <w:p w14:paraId="1A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1B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 образце вашего тела обнаружено запрещенное вещество и/или запрещенный метод, в том числе</w:t>
      </w:r>
    </w:p>
    <w:p w14:paraId="1C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кровь и моча</w:t>
      </w:r>
    </w:p>
    <w:p w14:paraId="1D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1E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используете или пытаетесь использовать запрещенное вещество или запрещенный метод</w:t>
      </w:r>
    </w:p>
    <w:p w14:paraId="1F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20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избегаете или отказываетесь проходить тест на наркотики</w:t>
      </w:r>
    </w:p>
    <w:p w14:paraId="21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22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не предоставляете информацию о своем местонахождении для внеконкурсного тестирования</w:t>
      </w:r>
    </w:p>
    <w:p w14:paraId="23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24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указываете неточные данные о местонахождении, что приводит к пропущенному тесту</w:t>
      </w:r>
    </w:p>
    <w:p w14:paraId="25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26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получаете 3 "удара о местонахождении’</w:t>
      </w:r>
    </w:p>
    <w:p w14:paraId="27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28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вмешиваетесь или пытаетесь вмешаться в любую часть процесса допинг-контроля</w:t>
      </w:r>
    </w:p>
    <w:p w14:paraId="29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2A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владеете или перевозите запрещенные вещества и / или методы</w:t>
      </w:r>
    </w:p>
    <w:p w14:paraId="2B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•</w:t>
      </w:r>
    </w:p>
    <w:p w14:paraId="2C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Вы вводите или пытаетесь ввести запрещенное вещество и/или запрещенный метод любому</w:t>
      </w:r>
    </w:p>
    <w:p w14:paraId="2D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 xml:space="preserve">игрок, или помогает, поощряет, помогает, </w:t>
      </w:r>
      <w:r>
        <w:rPr>
          <w:rFonts w:ascii="Times" w:hAnsi="Times"/>
          <w:color w:val="000000"/>
          <w:sz w:val="23"/>
        </w:rPr>
        <w:t>подстрекательствует</w:t>
      </w:r>
      <w:r>
        <w:rPr>
          <w:rFonts w:ascii="Times" w:hAnsi="Times"/>
          <w:color w:val="000000"/>
          <w:sz w:val="23"/>
        </w:rPr>
        <w:t xml:space="preserve"> или покрывает нарушение антидопинговых правил.</w:t>
      </w:r>
    </w:p>
    <w:p w14:paraId="2E000000">
      <w:pPr>
        <w:spacing w:after="0" w:line="240" w:lineRule="auto"/>
        <w:ind/>
        <w:rPr>
          <w:rFonts w:ascii="Times New Roman" w:hAnsi="Times New Roman"/>
          <w:color w:val="000000"/>
          <w:sz w:val="27"/>
        </w:rPr>
      </w:pPr>
    </w:p>
    <w:p w14:paraId="2F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Не только игроки могут допускать нарушения антидопинговых правил при коучинге; вспомогательный и медицинский персонал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подчиняются антидопинговым правилам WSAF, поэтому должны быть полностью осведомлены о своих обязанностях.</w:t>
      </w:r>
    </w:p>
    <w:p w14:paraId="30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WSAF хочет убедиться, что всем игрокам в этой стране на всех уровнях была оказана вся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необходимая поддержка, чтобы они могли играть в меру своих возможностей. Мы хотим убедиться, что все наши игроки способны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делать хорошо информированные и позитивные</w:t>
      </w:r>
    </w:p>
    <w:p w14:paraId="31000000">
      <w:pPr>
        <w:spacing w:after="0" w:line="270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Антидопинговые правила WSAF приведены в соответствие с правилами Всемирного антидопингового агентства (ВАДА).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WSAF соответствует антидопинговым правилам Великобритании и США (2009) в соответствии со Всемирным антидопинговым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кодексом. WSAF стремится к тому, чтобы айкидо было спортом, свободным от наркотиков.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Вступая в Ассоциации WSAF, Организации и их члены обязаны соблюдать правила WSAF, которые включают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антидопинговые правила. Кроме того, подписывая регистрационную форму игрока WSAF, игроки автоматически дают согласие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на прохождение тестирования в соответствии с антидопинговыми правилами.</w:t>
      </w:r>
    </w:p>
    <w:p w14:paraId="32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Игроки несут единоличную ответственность за любое запрещенное вещество, обнаруженное в их системе, независимо от того, было ли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намерение обмануть или нет. Процедура тестирования Любой игрок, участвующий в любом одобренном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соревновательном мероприятии WSAF, может быть протестирован. Офицеры допинг-контроля (DCO), уполномоченные Антидопинговым управлением ВАДА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, могут присутствовать на этих мероприятиях. Они будут выбирать случайных игроков из команд (</w:t>
      </w:r>
      <w:r>
        <w:rPr>
          <w:rFonts w:ascii="Times" w:hAnsi="Times"/>
          <w:color w:val="000000"/>
          <w:sz w:val="23"/>
        </w:rPr>
        <w:t>т.Е.</w:t>
      </w:r>
      <w:r>
        <w:rPr>
          <w:rFonts w:ascii="Times" w:hAnsi="Times"/>
          <w:color w:val="000000"/>
          <w:sz w:val="23"/>
        </w:rPr>
        <w:t xml:space="preserve"> Любого игрока, который появляется в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таблице матчей). Это будет сделано во время соревнований, и менеджеры команд могут присутствовать на жеребьевке.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Эти игроки должны будут сдать допинг-тесты после матча в соответствии с национальными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процедурами.</w:t>
      </w:r>
    </w:p>
    <w:p w14:paraId="33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Исключения для терапевтического использования (TUE)</w:t>
      </w:r>
      <w:r>
        <w:rPr>
          <w:rFonts w:ascii="Times" w:hAnsi="Times"/>
          <w:b w:val="1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Процесс освобождения от терапевтического использования (TUE) позволяет игроку получить разрешение UKAD на использование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предписанного запрещенного вещества или метода для лечения законного заболевания.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Это игрок, содержащий любые запрещенные вещества из списка запрещенных ВАДА. Если игрок принимает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лекарства или ему рекомендуют лекарства, в состав которых входит запрещенное вещество, он должен объяснить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своему врачу, что его могут проверить на наркотики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Следует спросить врача, существует ли альтернативное лекарство, в состав которого не входит запрещенное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вещество. Если это доступно, игрок должен запросить, чтобы ему назначили это лекарство. Если нет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альтернативы приему лекарств, содержащих запрещенное вещество, игрок должен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подать заявку на ВТ. Процесс ВТ Игроки должны подать заявку на ВТ до употребления запрещенного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вещества.</w:t>
      </w:r>
    </w:p>
    <w:p w14:paraId="34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Форма заявки</w:t>
      </w:r>
    </w:p>
    <w:p w14:paraId="35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Игроки должны хранить копию своей заявки и форму уведомления в надежном месте и брать их с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собой на любые соревнования, где они могут пройти тестирование на наркотики, в качестве доказательства того, что у них есть TUE. Вещество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также должно быть указано в Форме сбора пробы, если оно используется в течение 4 недель после допинг-контроля.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 xml:space="preserve">ВТ при астме Существует отдельная форма ВТ UKAD для игроков, принимающих предписанный </w:t>
      </w:r>
      <w:r>
        <w:rPr>
          <w:rFonts w:ascii="Times" w:hAnsi="Times"/>
          <w:color w:val="000000"/>
          <w:sz w:val="23"/>
        </w:rPr>
        <w:t>тербуталин</w:t>
      </w:r>
      <w:r>
        <w:rPr>
          <w:rFonts w:ascii="Times" w:hAnsi="Times"/>
          <w:color w:val="000000"/>
          <w:sz w:val="23"/>
        </w:rPr>
        <w:t xml:space="preserve"> или </w:t>
      </w:r>
      <w:r>
        <w:rPr>
          <w:rFonts w:ascii="Times" w:hAnsi="Times"/>
          <w:color w:val="000000"/>
          <w:sz w:val="23"/>
        </w:rPr>
        <w:t>формотерол</w:t>
      </w:r>
      <w:r>
        <w:rPr>
          <w:rFonts w:ascii="Times" w:hAnsi="Times"/>
          <w:color w:val="000000"/>
          <w:sz w:val="23"/>
        </w:rPr>
        <w:t xml:space="preserve"> для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Декларация о применении при лечении астмы (</w:t>
      </w:r>
      <w:r>
        <w:rPr>
          <w:rFonts w:ascii="Times" w:hAnsi="Times"/>
          <w:color w:val="000000"/>
          <w:sz w:val="23"/>
        </w:rPr>
        <w:t>DoU</w:t>
      </w:r>
      <w:r>
        <w:rPr>
          <w:rFonts w:ascii="Times" w:hAnsi="Times"/>
          <w:color w:val="000000"/>
          <w:sz w:val="23"/>
        </w:rPr>
        <w:t>) В запрещенном списке ВАДА указаны определенные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вещества, методы или пути введения, которые не запрещены, но для которых спортсмен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должен заполнить форму декларации о применении (</w:t>
      </w:r>
      <w:r>
        <w:rPr>
          <w:rFonts w:ascii="Times" w:hAnsi="Times"/>
          <w:color w:val="000000"/>
          <w:sz w:val="23"/>
        </w:rPr>
        <w:t>DoU</w:t>
      </w:r>
      <w:r>
        <w:rPr>
          <w:rFonts w:ascii="Times" w:hAnsi="Times"/>
          <w:color w:val="000000"/>
          <w:sz w:val="23"/>
        </w:rPr>
        <w:t>) онлайн через веб-сайт UKAD. Заявление о применении может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быть сделано ТОЛЬКО для веществ и способов введения, перечисленных ниже:</w:t>
      </w:r>
    </w:p>
    <w:p w14:paraId="36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37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сальбутамол</w:t>
      </w:r>
      <w:r>
        <w:rPr>
          <w:rFonts w:ascii="Times" w:hAnsi="Times"/>
          <w:color w:val="000000"/>
          <w:sz w:val="23"/>
        </w:rPr>
        <w:t xml:space="preserve"> и </w:t>
      </w:r>
      <w:r>
        <w:rPr>
          <w:rFonts w:ascii="Times" w:hAnsi="Times"/>
          <w:color w:val="000000"/>
          <w:sz w:val="23"/>
        </w:rPr>
        <w:t>сальметерол</w:t>
      </w:r>
      <w:r>
        <w:rPr>
          <w:rFonts w:ascii="Times" w:hAnsi="Times"/>
          <w:color w:val="000000"/>
          <w:sz w:val="23"/>
        </w:rPr>
        <w:t xml:space="preserve"> при вдыхании</w:t>
      </w:r>
    </w:p>
    <w:p w14:paraId="38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39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глюкокортикостероиды</w:t>
      </w:r>
      <w:r>
        <w:rPr>
          <w:rFonts w:ascii="Times" w:hAnsi="Times"/>
          <w:color w:val="000000"/>
          <w:sz w:val="23"/>
        </w:rPr>
        <w:t xml:space="preserve"> путем ингаляции</w:t>
      </w:r>
    </w:p>
    <w:p w14:paraId="3A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3B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глюкокортикостероиды</w:t>
      </w:r>
      <w:r>
        <w:rPr>
          <w:rFonts w:ascii="Times" w:hAnsi="Times"/>
          <w:color w:val="000000"/>
          <w:sz w:val="23"/>
        </w:rPr>
        <w:t>, вводимые путем локализованной инъекции</w:t>
      </w:r>
    </w:p>
    <w:p w14:paraId="3C000000">
      <w:pPr>
        <w:spacing w:after="0" w:line="240" w:lineRule="auto"/>
        <w:ind/>
        <w:rPr>
          <w:rFonts w:ascii="Courier" w:hAnsi="Courier"/>
          <w:color w:val="000000"/>
          <w:sz w:val="23"/>
        </w:rPr>
      </w:pPr>
      <w:r>
        <w:rPr>
          <w:rFonts w:ascii="Courier" w:hAnsi="Courier"/>
          <w:color w:val="000000"/>
          <w:sz w:val="23"/>
        </w:rPr>
        <w:t>•</w:t>
      </w:r>
    </w:p>
    <w:p w14:paraId="3D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препараты на основе тромбоцитов (например, обогащенная тромбоцитами плазма, "вращение крови")</w:t>
      </w:r>
    </w:p>
    <w:p w14:paraId="3E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не внутримышечными путями.</w:t>
      </w:r>
    </w:p>
    <w:p w14:paraId="3F000000">
      <w:pPr>
        <w:spacing w:after="0" w:line="270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Антидопинговые рекомендации WSAF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 xml:space="preserve">Веб-сайт Global </w:t>
      </w:r>
      <w:r>
        <w:rPr>
          <w:rFonts w:ascii="Times" w:hAnsi="Times"/>
          <w:color w:val="000000"/>
          <w:sz w:val="23"/>
        </w:rPr>
        <w:t>Drug</w:t>
      </w:r>
      <w:r>
        <w:rPr>
          <w:rFonts w:ascii="Times" w:hAnsi="Times"/>
          <w:color w:val="000000"/>
          <w:sz w:val="23"/>
        </w:rPr>
        <w:t xml:space="preserve"> </w:t>
      </w:r>
      <w:r>
        <w:rPr>
          <w:rFonts w:ascii="Times" w:hAnsi="Times"/>
          <w:color w:val="000000"/>
          <w:sz w:val="23"/>
        </w:rPr>
        <w:t>Reference</w:t>
      </w:r>
      <w:r>
        <w:rPr>
          <w:rFonts w:ascii="Times" w:hAnsi="Times"/>
          <w:color w:val="000000"/>
          <w:sz w:val="23"/>
        </w:rPr>
        <w:t xml:space="preserve"> Online (Global DRO) предоставляет игрокам и вспомогательному персоналу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информацию о запрещенном статусе конкретных веществ на основе текущего запрещенного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списка ВАДА. Они могут искать. Это позволяет отдельным лицам искать конкретную информацию о продуктах, купленных в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Великобритании, Канаде и США. Руководство по добавкам WSAF рекомендует всем игрокам оценить потребность и риск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, прежде чем принимать какие-либо добавки, поскольку предыдущие исследования показали перекрестное загрязнение пищевых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добавок и наличие запрещенных веществ, не указанных в списках содержимого.</w:t>
      </w:r>
    </w:p>
    <w:p w14:paraId="40000000">
      <w:pPr>
        <w:spacing w:after="0" w:line="270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 xml:space="preserve">Для получения дополнительной информации см. Веб-сайт UKAD или для получения подробной информации об отдельных добавках см. </w:t>
      </w:r>
      <w:r>
        <w:rPr>
          <w:rFonts w:ascii="Times" w:hAnsi="Times"/>
          <w:color w:val="000000"/>
          <w:sz w:val="23"/>
        </w:rPr>
        <w:t>Informed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Sport, программа обеспечения качества продуктов спортивного питания.</w:t>
      </w:r>
    </w:p>
    <w:p w14:paraId="41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Для получения дополнительной информации по любым антидопинговым вопросам, пожалуйста, посетите веб-сайт UKAD</w:t>
      </w:r>
    </w:p>
    <w:p w14:paraId="42000000">
      <w:pPr>
        <w:spacing w:after="0" w:line="240" w:lineRule="auto"/>
        <w:ind/>
        <w:rPr>
          <w:rFonts w:ascii="Times" w:hAnsi="Times"/>
          <w:color w:val="FF0000"/>
          <w:sz w:val="23"/>
        </w:rPr>
      </w:pPr>
      <w:r>
        <w:rPr>
          <w:rFonts w:ascii="Times" w:hAnsi="Times"/>
          <w:b w:val="1"/>
          <w:color w:val="FF0000"/>
          <w:sz w:val="23"/>
        </w:rPr>
        <w:t>www.ukad.org.uk</w:t>
      </w:r>
    </w:p>
    <w:p w14:paraId="43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или</w:t>
      </w:r>
    </w:p>
    <w:p w14:paraId="44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Всемирное антидопинговое агентство или Антидопинговое агентство США в</w:t>
      </w:r>
    </w:p>
    <w:p w14:paraId="45000000">
      <w:pPr>
        <w:spacing w:after="0" w:line="240" w:lineRule="auto"/>
        <w:ind/>
        <w:rPr>
          <w:rFonts w:ascii="Times" w:hAnsi="Times"/>
          <w:color w:val="FF0000"/>
          <w:sz w:val="23"/>
        </w:rPr>
      </w:pPr>
      <w:r>
        <w:rPr>
          <w:rFonts w:ascii="Times" w:hAnsi="Times"/>
          <w:color w:val="FF0000"/>
          <w:sz w:val="23"/>
        </w:rPr>
        <w:t xml:space="preserve">w </w:t>
      </w:r>
      <w:r>
        <w:rPr>
          <w:rFonts w:ascii="Times" w:hAnsi="Times"/>
          <w:color w:val="FF0000"/>
          <w:sz w:val="23"/>
        </w:rPr>
        <w:t>w</w:t>
      </w:r>
      <w:r>
        <w:rPr>
          <w:rFonts w:ascii="Times" w:hAnsi="Times"/>
          <w:color w:val="FF0000"/>
          <w:sz w:val="23"/>
        </w:rPr>
        <w:t xml:space="preserve"> w.</w:t>
      </w:r>
      <w:r>
        <w:rPr>
          <w:rFonts w:ascii="Times" w:hAnsi="Times"/>
          <w:b w:val="1"/>
          <w:color w:val="FF0000"/>
          <w:sz w:val="23"/>
        </w:rPr>
        <w:t>usada</w:t>
      </w:r>
      <w:r>
        <w:rPr>
          <w:rFonts w:ascii="Times" w:hAnsi="Times"/>
          <w:color w:val="FF0000"/>
          <w:sz w:val="23"/>
        </w:rPr>
        <w:t>.org</w:t>
      </w:r>
    </w:p>
    <w:p w14:paraId="46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Рекомендуемая шкала санкций за положительные случаи при допинг-контроле.</w:t>
      </w:r>
    </w:p>
    <w:p w14:paraId="47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Шкала 1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Анаболические стероиды, связанные с амфетамином и другие стимуляторы, кофеин, диуретики (обнаруженные во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 xml:space="preserve">время тестирования на соревнованиях *), бета-блокаторы, наркотические анальгетики, маскирующие средства, такие как </w:t>
      </w:r>
      <w:r>
        <w:rPr>
          <w:rFonts w:ascii="Times" w:hAnsi="Times"/>
          <w:color w:val="000000"/>
          <w:sz w:val="23"/>
        </w:rPr>
        <w:t>Пробенецид</w:t>
      </w:r>
      <w:r>
        <w:rPr>
          <w:rFonts w:ascii="Times" w:hAnsi="Times"/>
          <w:color w:val="000000"/>
          <w:sz w:val="23"/>
        </w:rPr>
        <w:t xml:space="preserve"> и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дизайнерские наркотики.</w:t>
      </w:r>
    </w:p>
    <w:p w14:paraId="48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Первое преступление</w:t>
      </w:r>
    </w:p>
    <w:p w14:paraId="49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Отстранение от членства в WSAF на два года и / или четырехлетний запрет на участие в соревнованиях. Этот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срок может быть продлен в зависимости от серьезности правонарушения.</w:t>
      </w:r>
    </w:p>
    <w:p w14:paraId="4A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Второе преступление</w:t>
      </w:r>
    </w:p>
    <w:p w14:paraId="4B000000">
      <w:pPr>
        <w:spacing w:after="0" w:line="270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Четырехлетнее отстранение от членства в WSAF и / или шестилетний запрет на участие в соревнованиях. Этот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срок может быть продлен в зависимости от серьезности правонарушения.</w:t>
      </w:r>
    </w:p>
    <w:p w14:paraId="4C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Третье преступление</w:t>
      </w:r>
    </w:p>
    <w:p w14:paraId="4D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Пожизненный запрет на членство в WSAF и на все соревнования.</w:t>
      </w:r>
    </w:p>
    <w:p w14:paraId="4E000000">
      <w:pPr>
        <w:spacing w:after="0" w:line="270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Шкала 2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 xml:space="preserve">Эфедрин, </w:t>
      </w:r>
      <w:r>
        <w:rPr>
          <w:rFonts w:ascii="Times" w:hAnsi="Times"/>
          <w:color w:val="000000"/>
          <w:sz w:val="23"/>
        </w:rPr>
        <w:t>фенилпропаноламин</w:t>
      </w:r>
      <w:r>
        <w:rPr>
          <w:rFonts w:ascii="Times" w:hAnsi="Times"/>
          <w:color w:val="000000"/>
          <w:sz w:val="23"/>
        </w:rPr>
        <w:t xml:space="preserve">, </w:t>
      </w:r>
      <w:r>
        <w:rPr>
          <w:rFonts w:ascii="Times" w:hAnsi="Times"/>
          <w:color w:val="000000"/>
          <w:sz w:val="23"/>
        </w:rPr>
        <w:t>Кодин</w:t>
      </w:r>
      <w:r>
        <w:rPr>
          <w:rFonts w:ascii="Times" w:hAnsi="Times"/>
          <w:color w:val="000000"/>
          <w:sz w:val="23"/>
        </w:rPr>
        <w:t xml:space="preserve"> и др. (при пероральном применении в качестве средства для подавления кашля или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обезболивающего в сочетании с противоотечными и / или антигистаминными препаратами).</w:t>
      </w:r>
    </w:p>
    <w:p w14:paraId="4F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Первое преступление</w:t>
      </w:r>
    </w:p>
    <w:p w14:paraId="50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Максимальное отстранение от членства в WSAF и соревнований на один год.</w:t>
      </w:r>
    </w:p>
    <w:p w14:paraId="51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Второе преступление</w:t>
      </w:r>
    </w:p>
    <w:p w14:paraId="52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Двухлетнее отстранение от участия в WSAF и / или от соревнований.</w:t>
      </w:r>
    </w:p>
    <w:p w14:paraId="53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b w:val="1"/>
          <w:color w:val="000000"/>
          <w:sz w:val="23"/>
        </w:rPr>
        <w:t>Третье преступление</w:t>
      </w:r>
    </w:p>
    <w:p w14:paraId="54000000">
      <w:pPr>
        <w:spacing w:after="0" w:line="240" w:lineRule="auto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Пожизненный запрет на членство в WSAF и участие в соревнованиях.</w:t>
      </w:r>
    </w:p>
    <w:p w14:paraId="55000000">
      <w:pPr>
        <w:spacing w:after="0" w:line="240" w:lineRule="auto"/>
        <w:ind/>
        <w:rPr>
          <w:rFonts w:ascii="Courier" w:hAnsi="Courier"/>
          <w:color w:val="FF0000"/>
          <w:sz w:val="23"/>
        </w:rPr>
      </w:pPr>
      <w:r>
        <w:rPr>
          <w:rFonts w:ascii="Courier" w:hAnsi="Courier"/>
          <w:color w:val="FF0000"/>
          <w:sz w:val="23"/>
        </w:rPr>
        <w:t>•</w:t>
      </w:r>
    </w:p>
    <w:p w14:paraId="56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Перед вынесением решения Исполнительный директор WSAF проконсультируется с медицинским работником WSAF по поводу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использования женщинами-игроками мочегонного средства, обнаруженного во внесоревновательном тестировании.</w:t>
      </w:r>
    </w:p>
    <w:p w14:paraId="57000000">
      <w:pPr>
        <w:spacing w:after="0" w:line="240" w:lineRule="auto"/>
        <w:ind/>
        <w:rPr>
          <w:rFonts w:ascii="Courier" w:hAnsi="Courier"/>
          <w:color w:val="FF0000"/>
          <w:sz w:val="23"/>
        </w:rPr>
      </w:pPr>
      <w:r>
        <w:rPr>
          <w:rFonts w:ascii="Courier" w:hAnsi="Courier"/>
          <w:color w:val="FF0000"/>
          <w:sz w:val="23"/>
        </w:rPr>
        <w:t>•</w:t>
      </w:r>
    </w:p>
    <w:p w14:paraId="58000000">
      <w:pPr>
        <w:spacing w:after="0" w:line="285" w:lineRule="atLeast"/>
        <w:ind/>
        <w:rPr>
          <w:rFonts w:ascii="Times" w:hAnsi="Times"/>
          <w:color w:val="000000"/>
          <w:sz w:val="23"/>
        </w:rPr>
      </w:pPr>
      <w:r>
        <w:rPr>
          <w:rFonts w:ascii="Times" w:hAnsi="Times"/>
          <w:color w:val="000000"/>
          <w:sz w:val="23"/>
        </w:rPr>
        <w:t>(Нет никаких медицинских причин для того, чтобы здоровый, конкурентоспособный мужчина-айкидо-игрок принимал мочегонное средство в любое</w:t>
      </w:r>
      <w:r>
        <w:rPr>
          <w:rFonts w:ascii="Times" w:hAnsi="Times"/>
          <w:color w:val="000000"/>
          <w:sz w:val="23"/>
        </w:rPr>
        <w:br/>
      </w:r>
      <w:r>
        <w:rPr>
          <w:rFonts w:ascii="Times" w:hAnsi="Times"/>
          <w:color w:val="000000"/>
          <w:sz w:val="23"/>
        </w:rPr>
        <w:t>время.)</w:t>
      </w:r>
    </w:p>
    <w:p w14:paraId="59000000">
      <w:pPr>
        <w:spacing w:after="0" w:line="240" w:lineRule="auto"/>
        <w:ind/>
        <w:rPr>
          <w:rFonts w:ascii="Times" w:hAnsi="Times"/>
          <w:color w:val="000000"/>
          <w:sz w:val="20"/>
        </w:rPr>
      </w:pPr>
      <w:r>
        <w:rPr>
          <w:rFonts w:ascii="Times" w:hAnsi="Times"/>
          <w:b w:val="1"/>
          <w:color w:val="000000"/>
          <w:sz w:val="20"/>
        </w:rPr>
        <w:t>Антидопинговая политика UKAD</w:t>
      </w:r>
    </w:p>
    <w:p w14:paraId="5A000000">
      <w:pPr>
        <w:spacing w:after="0" w:line="240" w:lineRule="auto"/>
        <w:ind/>
        <w:rPr>
          <w:rFonts w:ascii="Times" w:hAnsi="Times"/>
          <w:color w:val="0000FF"/>
          <w:sz w:val="20"/>
        </w:rPr>
      </w:pPr>
      <w:r>
        <w:rPr>
          <w:rFonts w:ascii="Times" w:hAnsi="Times"/>
          <w:b w:val="1"/>
          <w:color w:val="0000FF"/>
          <w:sz w:val="20"/>
        </w:rPr>
        <w:t>www.bcu.org.uk/resources-and-policies/policies/anti-doping-policy-/</w:t>
      </w:r>
    </w:p>
    <w:p w14:paraId="5B000000">
      <w:pPr>
        <w:spacing w:after="0" w:line="240" w:lineRule="auto"/>
        <w:ind/>
        <w:rPr>
          <w:rFonts w:ascii="Times" w:hAnsi="Times"/>
          <w:color w:val="000000"/>
          <w:sz w:val="20"/>
        </w:rPr>
      </w:pPr>
      <w:r>
        <w:rPr>
          <w:rFonts w:ascii="Times" w:hAnsi="Times"/>
          <w:b w:val="1"/>
          <w:color w:val="000000"/>
          <w:sz w:val="20"/>
        </w:rPr>
        <w:t>Список запрещенных веществ ВАДА:</w:t>
      </w:r>
    </w:p>
    <w:p w14:paraId="5C000000">
      <w:pPr>
        <w:spacing w:after="0" w:line="255" w:lineRule="atLeast"/>
        <w:ind/>
        <w:rPr>
          <w:rFonts w:ascii="Times" w:hAnsi="Times"/>
          <w:color w:val="0000FF"/>
          <w:sz w:val="20"/>
        </w:rPr>
      </w:pPr>
      <w:r>
        <w:rPr>
          <w:rFonts w:ascii="Times" w:hAnsi="Times"/>
          <w:b w:val="1"/>
          <w:color w:val="0000FF"/>
          <w:sz w:val="20"/>
        </w:rPr>
        <w:br/>
      </w:r>
      <w:r>
        <w:rPr>
          <w:rFonts w:ascii="Times" w:hAnsi="Times"/>
          <w:b w:val="1"/>
          <w:color w:val="0000FF"/>
          <w:sz w:val="20"/>
        </w:rPr>
        <w:t>www.wada-ama.org/en/World-Anti-Doping-Program/Sports-and-Anti-Doping-Organizations/InternationalStandards/Prohibited-List/</w:t>
      </w:r>
    </w:p>
    <w:p w14:paraId="5D000000">
      <w:pPr>
        <w:spacing w:after="0" w:line="240" w:lineRule="auto"/>
        <w:ind/>
        <w:rPr>
          <w:rFonts w:ascii="Times" w:hAnsi="Times"/>
          <w:color w:val="000000"/>
          <w:sz w:val="20"/>
        </w:rPr>
      </w:pPr>
      <w:r>
        <w:rPr>
          <w:rFonts w:ascii="Times" w:hAnsi="Times"/>
          <w:b w:val="1"/>
          <w:color w:val="000000"/>
          <w:sz w:val="20"/>
        </w:rPr>
        <w:t>Процедуры тестирования</w:t>
      </w:r>
    </w:p>
    <w:p w14:paraId="5E000000">
      <w:pPr>
        <w:spacing w:after="0" w:line="240" w:lineRule="auto"/>
        <w:ind/>
        <w:rPr>
          <w:rFonts w:ascii="Times" w:hAnsi="Times"/>
          <w:color w:val="0000FF"/>
          <w:sz w:val="20"/>
        </w:rPr>
      </w:pPr>
      <w:r>
        <w:rPr>
          <w:rFonts w:ascii="Times" w:hAnsi="Times"/>
          <w:b w:val="1"/>
          <w:color w:val="0000FF"/>
          <w:sz w:val="20"/>
        </w:rPr>
        <w:t>www.ukad.org.uk/support-personnel/testing-procedures/</w:t>
      </w:r>
    </w:p>
    <w:p w14:paraId="5F000000">
      <w:pPr>
        <w:spacing w:after="0" w:line="240" w:lineRule="auto"/>
        <w:ind/>
        <w:rPr>
          <w:rFonts w:ascii="Times" w:hAnsi="Times"/>
          <w:color w:val="000000"/>
          <w:sz w:val="20"/>
        </w:rPr>
      </w:pPr>
      <w:r>
        <w:rPr>
          <w:rFonts w:ascii="Times" w:hAnsi="Times"/>
          <w:b w:val="1"/>
          <w:color w:val="000000"/>
          <w:sz w:val="20"/>
        </w:rPr>
        <w:t>Информация об управлении результатами</w:t>
      </w:r>
    </w:p>
    <w:p w14:paraId="60000000">
      <w:pPr>
        <w:spacing w:after="0" w:line="240" w:lineRule="auto"/>
        <w:ind/>
        <w:rPr>
          <w:rFonts w:ascii="Times" w:hAnsi="Times"/>
          <w:color w:val="0000FF"/>
          <w:sz w:val="20"/>
        </w:rPr>
      </w:pPr>
      <w:r>
        <w:rPr>
          <w:rFonts w:ascii="Times" w:hAnsi="Times"/>
          <w:b w:val="1"/>
          <w:color w:val="0000FF"/>
          <w:sz w:val="20"/>
        </w:rPr>
        <w:t>www.ukad.org.uk/what-we-do/results-management</w:t>
      </w:r>
    </w:p>
    <w:p w14:paraId="61000000">
      <w:pPr>
        <w:spacing w:after="0" w:line="240" w:lineRule="auto"/>
        <w:ind/>
        <w:rPr>
          <w:rFonts w:ascii="Times" w:hAnsi="Times"/>
          <w:color w:val="000000"/>
          <w:sz w:val="20"/>
        </w:rPr>
      </w:pPr>
      <w:r>
        <w:rPr>
          <w:rFonts w:ascii="Times" w:hAnsi="Times"/>
          <w:b w:val="1"/>
          <w:color w:val="000000"/>
          <w:sz w:val="20"/>
        </w:rPr>
        <w:t>Процедуры UKAD</w:t>
      </w:r>
    </w:p>
    <w:p w14:paraId="62000000">
      <w:pPr>
        <w:spacing w:after="0" w:line="240" w:lineRule="auto"/>
        <w:ind/>
        <w:rPr>
          <w:rFonts w:ascii="Times" w:hAnsi="Times"/>
          <w:color w:val="0000FF"/>
          <w:sz w:val="20"/>
        </w:rPr>
      </w:pPr>
      <w:r>
        <w:rPr>
          <w:rFonts w:ascii="Times" w:hAnsi="Times"/>
          <w:b w:val="1"/>
          <w:color w:val="0000FF"/>
          <w:sz w:val="20"/>
        </w:rPr>
        <w:t>www.ukad.org.uk/support-personnel/testing-procedures/</w:t>
      </w:r>
    </w:p>
    <w:p w14:paraId="63000000">
      <w:pPr>
        <w:spacing w:after="0" w:line="240" w:lineRule="auto"/>
        <w:ind/>
        <w:rPr>
          <w:rFonts w:ascii="Times" w:hAnsi="Times"/>
          <w:color w:val="000000"/>
          <w:sz w:val="20"/>
        </w:rPr>
      </w:pPr>
      <w:r>
        <w:rPr>
          <w:rFonts w:ascii="Times" w:hAnsi="Times"/>
          <w:b w:val="1"/>
          <w:color w:val="000000"/>
          <w:sz w:val="20"/>
        </w:rPr>
        <w:t>Загрузите форму UKAD TUE</w:t>
      </w:r>
    </w:p>
    <w:p w14:paraId="64000000">
      <w:pPr>
        <w:spacing w:after="0" w:line="240" w:lineRule="auto"/>
        <w:ind/>
        <w:rPr>
          <w:rFonts w:ascii="Times" w:hAnsi="Times"/>
          <w:color w:val="0000FF"/>
          <w:sz w:val="20"/>
        </w:rPr>
      </w:pPr>
      <w:r>
        <w:rPr>
          <w:rFonts w:ascii="Times" w:hAnsi="Times"/>
          <w:b w:val="1"/>
          <w:color w:val="0000FF"/>
          <w:sz w:val="20"/>
        </w:rPr>
        <w:t>www.ukad.org.uk/resources/document/tue-form</w:t>
      </w:r>
    </w:p>
    <w:p w14:paraId="65000000">
      <w:pPr>
        <w:spacing w:after="0" w:line="240" w:lineRule="auto"/>
        <w:ind/>
        <w:rPr>
          <w:rFonts w:ascii="Times" w:hAnsi="Times"/>
          <w:color w:val="000000"/>
          <w:sz w:val="20"/>
        </w:rPr>
      </w:pPr>
      <w:r>
        <w:rPr>
          <w:rFonts w:ascii="Times" w:hAnsi="Times"/>
          <w:b w:val="1"/>
          <w:color w:val="000000"/>
          <w:sz w:val="20"/>
        </w:rPr>
        <w:t>Официальный сайт USADA</w:t>
      </w:r>
    </w:p>
    <w:p w14:paraId="66000000">
      <w:pPr>
        <w:spacing w:after="0" w:line="240" w:lineRule="auto"/>
        <w:ind/>
        <w:rPr>
          <w:rFonts w:ascii="Times" w:hAnsi="Times"/>
          <w:color w:val="0000FF"/>
          <w:sz w:val="20"/>
        </w:rPr>
      </w:pPr>
      <w:r>
        <w:rPr>
          <w:rFonts w:ascii="Times" w:hAnsi="Times"/>
          <w:color w:val="0000FF"/>
          <w:sz w:val="20"/>
        </w:rPr>
        <w:t>www.</w:t>
      </w:r>
      <w:r>
        <w:rPr>
          <w:rFonts w:ascii="Times" w:hAnsi="Times"/>
          <w:b w:val="1"/>
          <w:color w:val="0000FF"/>
          <w:sz w:val="20"/>
        </w:rPr>
        <w:t>usada</w:t>
      </w:r>
      <w:r>
        <w:rPr>
          <w:rFonts w:ascii="Times" w:hAnsi="Times"/>
          <w:color w:val="0000FF"/>
          <w:sz w:val="20"/>
        </w:rPr>
        <w:t>.org</w:t>
      </w:r>
    </w:p>
    <w:p w14:paraId="67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MyOffice-CoreFramework-Android/29-1028.734.7326.662.0@RELEASE-CORE-29.0-RC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2023-03-06T07:26:18Z</dcterms:modified>
</cp:coreProperties>
</file>